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89" w:type="dxa"/>
        <w:jc w:val="center"/>
        <w:tblLook w:val="01E0" w:firstRow="1" w:lastRow="1" w:firstColumn="1" w:lastColumn="1" w:noHBand="0" w:noVBand="0"/>
      </w:tblPr>
      <w:tblGrid>
        <w:gridCol w:w="2931"/>
        <w:gridCol w:w="2931"/>
        <w:gridCol w:w="2927"/>
      </w:tblGrid>
      <w:tr w:rsidR="00C859CE" w:rsidRPr="005B5596">
        <w:trPr>
          <w:trHeight w:val="317"/>
          <w:jc w:val="center"/>
        </w:trPr>
        <w:tc>
          <w:tcPr>
            <w:tcW w:w="2931" w:type="dxa"/>
            <w:tcBorders>
              <w:top w:val="nil"/>
              <w:left w:val="nil"/>
              <w:bottom w:val="single" w:sz="4" w:space="0" w:color="660066"/>
              <w:right w:val="nil"/>
            </w:tcBorders>
            <w:vAlign w:val="center"/>
            <w:hideMark/>
          </w:tcPr>
          <w:p w:rsidR="00C859CE" w:rsidRPr="00C859CE" w:rsidRDefault="00C859CE" w:rsidP="00C859CE">
            <w:pPr>
              <w:tabs>
                <w:tab w:val="left" w:pos="567"/>
                <w:tab w:val="center" w:pos="994"/>
                <w:tab w:val="center" w:pos="3543"/>
                <w:tab w:val="right" w:pos="6520"/>
              </w:tabs>
              <w:spacing w:after="0" w:line="240" w:lineRule="exact"/>
              <w:rPr>
                <w:rFonts w:ascii="Arial" w:eastAsia="Times New Roman" w:hAnsi="Arial" w:cs="Arial"/>
                <w:b/>
                <w:sz w:val="16"/>
                <w:szCs w:val="16"/>
                <w:lang w:eastAsia="tr-TR"/>
              </w:rPr>
            </w:pPr>
            <w:bookmarkStart w:id="0" w:name="_GoBack"/>
            <w:bookmarkEnd w:id="0"/>
            <w:r w:rsidRPr="00C859CE">
              <w:rPr>
                <w:rFonts w:ascii="Arial" w:eastAsia="Times New Roman" w:hAnsi="Arial" w:cs="Arial"/>
                <w:sz w:val="16"/>
                <w:szCs w:val="16"/>
                <w:lang w:eastAsia="tr-TR"/>
              </w:rPr>
              <w:t>16 Ocak 2016 CUMARTESİ</w:t>
            </w:r>
          </w:p>
        </w:tc>
        <w:tc>
          <w:tcPr>
            <w:tcW w:w="2931" w:type="dxa"/>
            <w:tcBorders>
              <w:top w:val="nil"/>
              <w:left w:val="nil"/>
              <w:bottom w:val="single" w:sz="4" w:space="0" w:color="660066"/>
              <w:right w:val="nil"/>
            </w:tcBorders>
            <w:vAlign w:val="center"/>
            <w:hideMark/>
          </w:tcPr>
          <w:p w:rsidR="00C859CE" w:rsidRPr="00C859CE" w:rsidRDefault="00C859CE" w:rsidP="00C859CE">
            <w:pPr>
              <w:tabs>
                <w:tab w:val="left" w:pos="567"/>
                <w:tab w:val="center" w:pos="994"/>
                <w:tab w:val="center" w:pos="3543"/>
                <w:tab w:val="right" w:pos="6520"/>
              </w:tabs>
              <w:spacing w:after="0" w:line="240" w:lineRule="exact"/>
              <w:jc w:val="center"/>
              <w:rPr>
                <w:rFonts w:ascii="Palatino Linotype" w:eastAsia="Times New Roman" w:hAnsi="Palatino Linotype"/>
                <w:b/>
                <w:color w:val="800080"/>
                <w:sz w:val="24"/>
                <w:szCs w:val="24"/>
                <w:lang w:eastAsia="tr-TR"/>
              </w:rPr>
            </w:pPr>
            <w:r w:rsidRPr="00C859CE">
              <w:rPr>
                <w:rFonts w:ascii="Palatino Linotype" w:eastAsia="Times New Roman" w:hAnsi="Palatino Linotype"/>
                <w:b/>
                <w:color w:val="800080"/>
                <w:sz w:val="24"/>
                <w:szCs w:val="24"/>
                <w:lang w:eastAsia="tr-TR"/>
              </w:rPr>
              <w:t>Resmî Gazete</w:t>
            </w:r>
          </w:p>
        </w:tc>
        <w:tc>
          <w:tcPr>
            <w:tcW w:w="2927" w:type="dxa"/>
            <w:tcBorders>
              <w:top w:val="nil"/>
              <w:left w:val="nil"/>
              <w:bottom w:val="single" w:sz="4" w:space="0" w:color="660066"/>
              <w:right w:val="nil"/>
            </w:tcBorders>
            <w:vAlign w:val="center"/>
            <w:hideMark/>
          </w:tcPr>
          <w:p w:rsidR="00C859CE" w:rsidRPr="00C859CE" w:rsidRDefault="00C859CE" w:rsidP="00C859CE">
            <w:pPr>
              <w:spacing w:before="100" w:beforeAutospacing="1" w:after="100" w:afterAutospacing="1" w:line="240" w:lineRule="auto"/>
              <w:jc w:val="right"/>
              <w:rPr>
                <w:rFonts w:ascii="Arial" w:eastAsia="Times New Roman" w:hAnsi="Arial" w:cs="Arial"/>
                <w:sz w:val="16"/>
                <w:szCs w:val="16"/>
                <w:lang w:eastAsia="tr-TR"/>
              </w:rPr>
            </w:pPr>
            <w:r w:rsidRPr="00C859CE">
              <w:rPr>
                <w:rFonts w:ascii="Arial" w:eastAsia="Times New Roman" w:hAnsi="Arial" w:cs="Arial"/>
                <w:sz w:val="16"/>
                <w:szCs w:val="16"/>
                <w:lang w:eastAsia="tr-TR"/>
              </w:rPr>
              <w:t>Sayı : 29595</w:t>
            </w:r>
          </w:p>
        </w:tc>
      </w:tr>
      <w:tr w:rsidR="00C859CE" w:rsidRPr="005B5596">
        <w:trPr>
          <w:trHeight w:val="480"/>
          <w:jc w:val="center"/>
        </w:trPr>
        <w:tc>
          <w:tcPr>
            <w:tcW w:w="8789" w:type="dxa"/>
            <w:gridSpan w:val="3"/>
            <w:vAlign w:val="center"/>
            <w:hideMark/>
          </w:tcPr>
          <w:p w:rsidR="00C859CE" w:rsidRPr="00C859CE" w:rsidRDefault="00C859CE" w:rsidP="00C859CE">
            <w:pPr>
              <w:spacing w:before="100" w:beforeAutospacing="1" w:after="100" w:afterAutospacing="1" w:line="240" w:lineRule="auto"/>
              <w:jc w:val="center"/>
              <w:rPr>
                <w:rFonts w:ascii="Arial" w:eastAsia="Times New Roman" w:hAnsi="Arial" w:cs="Arial"/>
                <w:b/>
                <w:color w:val="000080"/>
                <w:sz w:val="18"/>
                <w:szCs w:val="18"/>
                <w:lang w:eastAsia="tr-TR"/>
              </w:rPr>
            </w:pPr>
            <w:r w:rsidRPr="00C859CE">
              <w:rPr>
                <w:rFonts w:ascii="Arial" w:eastAsia="Times New Roman" w:hAnsi="Arial" w:cs="Arial"/>
                <w:b/>
                <w:color w:val="000080"/>
                <w:sz w:val="18"/>
                <w:szCs w:val="18"/>
                <w:lang w:eastAsia="tr-TR"/>
              </w:rPr>
              <w:t>YÖNETMELİK</w:t>
            </w:r>
          </w:p>
        </w:tc>
      </w:tr>
      <w:tr w:rsidR="00C859CE" w:rsidRPr="005B5596">
        <w:trPr>
          <w:trHeight w:val="480"/>
          <w:jc w:val="center"/>
        </w:trPr>
        <w:tc>
          <w:tcPr>
            <w:tcW w:w="8789" w:type="dxa"/>
            <w:gridSpan w:val="3"/>
            <w:vAlign w:val="center"/>
          </w:tcPr>
          <w:p w:rsidR="00C859CE" w:rsidRPr="00C859CE" w:rsidRDefault="00C859CE" w:rsidP="00C859CE">
            <w:pPr>
              <w:tabs>
                <w:tab w:val="left" w:pos="566"/>
              </w:tabs>
              <w:spacing w:after="0"/>
              <w:ind w:firstLine="566"/>
              <w:jc w:val="both"/>
              <w:rPr>
                <w:rFonts w:ascii="Times New Roman" w:eastAsia="Times New Roman" w:hAnsi="Times New Roman"/>
                <w:sz w:val="28"/>
                <w:szCs w:val="28"/>
                <w:u w:val="single"/>
                <w:lang w:eastAsia="tr-TR"/>
              </w:rPr>
            </w:pPr>
            <w:r w:rsidRPr="00C859CE">
              <w:rPr>
                <w:rFonts w:ascii="Times New Roman" w:eastAsia="Times New Roman" w:hAnsi="Times New Roman"/>
                <w:sz w:val="28"/>
                <w:szCs w:val="28"/>
                <w:u w:val="single"/>
                <w:lang w:eastAsia="tr-TR"/>
              </w:rPr>
              <w:t>Başbakanlık (Hazine Müsteşarlığı)’tan:</w:t>
            </w:r>
          </w:p>
          <w:p w:rsidR="00C859CE" w:rsidRPr="00C859CE" w:rsidRDefault="00C859CE" w:rsidP="00C859CE">
            <w:pPr>
              <w:tabs>
                <w:tab w:val="left" w:pos="566"/>
              </w:tabs>
              <w:spacing w:after="0"/>
              <w:jc w:val="center"/>
              <w:rPr>
                <w:rFonts w:ascii="Times New Roman" w:eastAsia="Times New Roman" w:hAnsi="Times New Roman"/>
                <w:b/>
                <w:sz w:val="28"/>
                <w:szCs w:val="28"/>
                <w:lang w:eastAsia="tr-TR"/>
              </w:rPr>
            </w:pPr>
            <w:r w:rsidRPr="00C859CE">
              <w:rPr>
                <w:rFonts w:ascii="Times New Roman" w:eastAsia="Times New Roman" w:hAnsi="Times New Roman"/>
                <w:b/>
                <w:sz w:val="28"/>
                <w:szCs w:val="28"/>
                <w:lang w:eastAsia="tr-TR"/>
              </w:rPr>
              <w:t>SİGORTA ACENTELERİ YÖNETMELİĞİNDE DEĞİŞİKLİK</w:t>
            </w:r>
          </w:p>
          <w:p w:rsidR="00C859CE" w:rsidRPr="00C859CE" w:rsidRDefault="00C859CE" w:rsidP="00C859CE">
            <w:pPr>
              <w:tabs>
                <w:tab w:val="left" w:pos="566"/>
              </w:tabs>
              <w:spacing w:after="0"/>
              <w:jc w:val="center"/>
              <w:rPr>
                <w:rFonts w:ascii="Times New Roman" w:eastAsia="Times New Roman" w:hAnsi="Times New Roman"/>
                <w:b/>
                <w:sz w:val="28"/>
                <w:szCs w:val="28"/>
                <w:lang w:eastAsia="tr-TR"/>
              </w:rPr>
            </w:pPr>
            <w:r w:rsidRPr="00C859CE">
              <w:rPr>
                <w:rFonts w:ascii="Times New Roman" w:eastAsia="Times New Roman" w:hAnsi="Times New Roman"/>
                <w:b/>
                <w:sz w:val="28"/>
                <w:szCs w:val="28"/>
                <w:lang w:eastAsia="tr-TR"/>
              </w:rPr>
              <w:t>YAPILMASINA İLİŞKİN YÖNETMELİK</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1 –</w:t>
            </w:r>
            <w:r w:rsidRPr="00C859CE">
              <w:rPr>
                <w:rFonts w:ascii="Times New Roman" w:eastAsia="Times New Roman" w:hAnsi="Times New Roman"/>
                <w:sz w:val="28"/>
                <w:szCs w:val="28"/>
                <w:lang w:eastAsia="tr-TR"/>
              </w:rPr>
              <w:t xml:space="preserve"> 22/4/2014 tarihli ve 28980 sayılı Resmî Gazete’de yayımlanan Sigorta Acenteleri Yönetmeliğinin 4 üncü maddesinin birinci fıkrasının (d) ve (e) bentleri aşağıdaki şekilde değiştirilmiştir.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“d) Fiziki şartlar, teknik ve idari altyapı ile insan kaynakları bakımından yeterli donanıma sahip olması.</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e) Ek-1’de yer alan öğrenim düzeyleri ile bu öğrenim düzeylerinin karşısında yer alan mesleki deneyim süresini tamamlaması.”</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2 –</w:t>
            </w:r>
            <w:r w:rsidRPr="00C859CE">
              <w:rPr>
                <w:rFonts w:ascii="Times New Roman" w:eastAsia="Times New Roman" w:hAnsi="Times New Roman"/>
                <w:sz w:val="28"/>
                <w:szCs w:val="28"/>
                <w:lang w:eastAsia="tr-TR"/>
              </w:rPr>
              <w:t xml:space="preserve"> Aynı Yönetmeliğin 5 inci maddesinin birinci fıkrasının (c) bendi aşağıdaki şekilde değiştirilmiş ve aynı maddenin ikinci ve beşinci fıkraları yürürlükten kaldırılmıştır.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“c) Fiziki şartlar, teknik ve idari altyapı ile insan kaynakları bakımından yeterli donanıma sahip olması.”</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3 –</w:t>
            </w:r>
            <w:r w:rsidRPr="00C859CE">
              <w:rPr>
                <w:rFonts w:ascii="Times New Roman" w:eastAsia="Times New Roman" w:hAnsi="Times New Roman"/>
                <w:sz w:val="28"/>
                <w:szCs w:val="28"/>
                <w:lang w:eastAsia="tr-TR"/>
              </w:rPr>
              <w:t xml:space="preserve"> Aynı Yönetmeliğin 6 ncı maddesi başlığı ile birlikte aşağıdaki şekilde değiştirilmiştir.</w:t>
            </w:r>
          </w:p>
          <w:p w:rsidR="00C859CE" w:rsidRPr="00C859CE" w:rsidRDefault="00C859CE" w:rsidP="00C859CE">
            <w:pPr>
              <w:tabs>
                <w:tab w:val="left" w:pos="566"/>
              </w:tabs>
              <w:spacing w:after="0"/>
              <w:ind w:firstLine="566"/>
              <w:jc w:val="both"/>
              <w:rPr>
                <w:rFonts w:ascii="Times New Roman" w:eastAsia="Times New Roman" w:hAnsi="Times New Roman"/>
                <w:b/>
                <w:sz w:val="28"/>
                <w:szCs w:val="28"/>
                <w:lang w:eastAsia="tr-TR"/>
              </w:rPr>
            </w:pPr>
            <w:r w:rsidRPr="00C859CE">
              <w:rPr>
                <w:rFonts w:ascii="Times New Roman" w:eastAsia="Times New Roman" w:hAnsi="Times New Roman"/>
                <w:sz w:val="28"/>
                <w:szCs w:val="28"/>
                <w:lang w:eastAsia="tr-TR"/>
              </w:rPr>
              <w:t>“</w:t>
            </w:r>
            <w:r w:rsidRPr="00C859CE">
              <w:rPr>
                <w:rFonts w:ascii="Times New Roman" w:eastAsia="Times New Roman" w:hAnsi="Times New Roman"/>
                <w:b/>
                <w:sz w:val="28"/>
                <w:szCs w:val="28"/>
                <w:lang w:eastAsia="tr-TR"/>
              </w:rPr>
              <w:t>Teknik personel</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 xml:space="preserve">MADDE 6 – </w:t>
            </w:r>
            <w:r w:rsidRPr="00C859CE">
              <w:rPr>
                <w:rFonts w:ascii="Times New Roman" w:eastAsia="Times New Roman" w:hAnsi="Times New Roman"/>
                <w:sz w:val="28"/>
                <w:szCs w:val="28"/>
                <w:lang w:eastAsia="tr-TR"/>
              </w:rPr>
              <w:t>(1) Acenteler tarafından yürütülecek sigorta ürünlerine yönelik pazarlama, bilgilendirme ve satış işlemlerinin yalnızca acentelerin teknik personeli tarafından yapılması esastır.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(2) Teknik personel unvanının kazanılabilmesi için;</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a) Medeni hakları kullanma ehliyetine sahip olunması,</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b) 4 üncü maddenin birinci fıkrasının (c) bendinde belirtilen suçlardan hüküm giyilmemiş veya ceza alınmamış olunması,</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c) Ek-1’de yer alan öğrenim düzeyleri ile bu öğrenim düzeylerinin karşısında yer alan mesleki deneyim süresinin tamamlanması,</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ç) SEGEM tarafından yapılacak teknik personel yeterlilik sınavının kazanılması,</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gerekir.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(3) Teknik personelin yürüttüğü mesleki işlemlerden dolayı üçüncü kişilere verecekleri zararlardan teknik personel ve bağlı bulundukları acenteler sorumludur.”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4 –</w:t>
            </w:r>
            <w:r w:rsidRPr="00C859CE">
              <w:rPr>
                <w:rFonts w:ascii="Times New Roman" w:eastAsia="Times New Roman" w:hAnsi="Times New Roman"/>
                <w:sz w:val="28"/>
                <w:szCs w:val="28"/>
                <w:lang w:eastAsia="tr-TR"/>
              </w:rPr>
              <w:t xml:space="preserve"> Aynı Yönetmeliğin 7 nci maddesi başlığı ile birlikte aşağıdaki şekilde değiştirilmiştir.</w:t>
            </w:r>
          </w:p>
          <w:p w:rsidR="00C859CE" w:rsidRPr="00C859CE" w:rsidRDefault="00C859CE" w:rsidP="00C859CE">
            <w:pPr>
              <w:tabs>
                <w:tab w:val="left" w:pos="566"/>
              </w:tabs>
              <w:spacing w:after="0"/>
              <w:ind w:firstLine="566"/>
              <w:jc w:val="both"/>
              <w:rPr>
                <w:rFonts w:ascii="Times New Roman" w:eastAsia="Times New Roman" w:hAnsi="Times New Roman"/>
                <w:b/>
                <w:sz w:val="28"/>
                <w:szCs w:val="28"/>
                <w:lang w:eastAsia="tr-TR"/>
              </w:rPr>
            </w:pPr>
            <w:r w:rsidRPr="00C859CE">
              <w:rPr>
                <w:rFonts w:ascii="Times New Roman" w:eastAsia="Times New Roman" w:hAnsi="Times New Roman"/>
                <w:sz w:val="28"/>
                <w:szCs w:val="28"/>
                <w:lang w:eastAsia="tr-TR"/>
              </w:rPr>
              <w:t>“</w:t>
            </w:r>
            <w:r w:rsidRPr="00C859CE">
              <w:rPr>
                <w:rFonts w:ascii="Times New Roman" w:eastAsia="Times New Roman" w:hAnsi="Times New Roman"/>
                <w:b/>
                <w:sz w:val="28"/>
                <w:szCs w:val="28"/>
                <w:lang w:eastAsia="tr-TR"/>
              </w:rPr>
              <w:t>İnsan kaynakları</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7 –</w:t>
            </w:r>
            <w:r w:rsidRPr="00C859CE">
              <w:rPr>
                <w:rFonts w:ascii="Times New Roman" w:eastAsia="Times New Roman" w:hAnsi="Times New Roman"/>
                <w:sz w:val="28"/>
                <w:szCs w:val="28"/>
                <w:lang w:eastAsia="tr-TR"/>
              </w:rPr>
              <w:t xml:space="preserve"> (1) Acentelerde, ilgisine göre teknik personel, müdür, genel müdür yardımcısı ve genel müdür marifetiyle faaliyet yürütülür.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lastRenderedPageBreak/>
              <w:t>(2) Genel müdür, genel müdür yardımcısı ve müdürlerde 4 üncü maddenin birinci fıkrasının (a), (b), (c) ve (e) bentlerinde sayılan nitelikler aranır. İcra Komitesi, genel müdür ve genel müdür yardımcıları için 4 üncü maddenin birinci fıkrasının (a) bendinde sayılan niteliğin aranmamasına karar verebilir.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(3) İcra Komitesi, acentenin niteliğini, faaliyet konusunu, hacmini ve diğer unsurları dikkate alarak Ek-1’de yer alan görev tanımları çerçevesinde hangi kategoride ve sayıda personelin faaliyet yürüteceğini belirler.”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5 –</w:t>
            </w:r>
            <w:r w:rsidRPr="00C859CE">
              <w:rPr>
                <w:rFonts w:ascii="Times New Roman" w:eastAsia="Times New Roman" w:hAnsi="Times New Roman"/>
                <w:sz w:val="28"/>
                <w:szCs w:val="28"/>
                <w:lang w:eastAsia="tr-TR"/>
              </w:rPr>
              <w:t xml:space="preserve"> Aynı Yönetmeliğin 8 inci maddesi aşağıdaki şekilde değiştirilmiştir.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w:t>
            </w:r>
            <w:r w:rsidRPr="00C859CE">
              <w:rPr>
                <w:rFonts w:ascii="Times New Roman" w:eastAsia="Times New Roman" w:hAnsi="Times New Roman"/>
                <w:b/>
                <w:sz w:val="28"/>
                <w:szCs w:val="28"/>
                <w:lang w:eastAsia="tr-TR"/>
              </w:rPr>
              <w:t>MADDE 8 –</w:t>
            </w:r>
            <w:r w:rsidRPr="00C859CE">
              <w:rPr>
                <w:rFonts w:ascii="Times New Roman" w:eastAsia="Times New Roman" w:hAnsi="Times New Roman"/>
                <w:sz w:val="28"/>
                <w:szCs w:val="28"/>
                <w:lang w:eastAsia="tr-TR"/>
              </w:rPr>
              <w:t xml:space="preserve"> (1) Acenteler, merkezleri dışında şube açabilir.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(2) Acente şubeleri, şube olduğu belirtilmek şartıyla acente ile aynı unvanı taşır.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(3) Şube açarak teşkilatlanmak isteyen acentelerin 9 uncu maddede belirtilen şartları sağlaması ve açılacak şubelerin fiziki şartlar, teknik ve idari altyapı ile insan kaynakları bakımından aranan şartları sağlaması gerekir.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(4) Her ne isimle olursa olsun içeriği itibarıyla şube ile aynı niteliğe sahip her türlü yapılanma şubeler için getirilen esaslara tabidir.”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6 –</w:t>
            </w:r>
            <w:r w:rsidRPr="00C859CE">
              <w:rPr>
                <w:rFonts w:ascii="Times New Roman" w:eastAsia="Times New Roman" w:hAnsi="Times New Roman"/>
                <w:sz w:val="28"/>
                <w:szCs w:val="28"/>
                <w:lang w:eastAsia="tr-TR"/>
              </w:rPr>
              <w:t xml:space="preserve"> Aynı Yönetmeliğin 10 uncu maddesinin ikinci fıkrası aşağıdaki şekilde değiştirilmiştir.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“(2) Uygunluk belgesi başvurusu TOBB tarafından görevlendirilecek odalara yapılır. Başvurularda, İcra Komitesi tarafından belirlenen ve bu Yönetmelikte aranan şartları tevsik edici belgeler aranır.”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7 –</w:t>
            </w:r>
            <w:r w:rsidRPr="00C859CE">
              <w:rPr>
                <w:rFonts w:ascii="Times New Roman" w:eastAsia="Times New Roman" w:hAnsi="Times New Roman"/>
                <w:sz w:val="28"/>
                <w:szCs w:val="28"/>
                <w:lang w:eastAsia="tr-TR"/>
              </w:rPr>
              <w:t xml:space="preserve"> Aynı Yönetmeliğin 13 üncü maddesinin üçüncü ve dördüncü fıkraları aşağıdaki şekilde değiştirilmiştir.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“(3) Kanunun 23 üncü maddesinin üçüncü fıkrası uyarınca acentelik faaliyeti yapacak olan bankalar ile özel kanunla kurulmuş ve kendisine sigorta acenteliği yapma yetkisi tanınan kurumlar için bu Yönetmeliğin 5, 7, 8, 9, 10, 12 ve 16 ncı maddeleri ile 14 üncü maddesinin ikinci, üçüncü ve dördüncü fıkraları uygulanmaz.</w:t>
            </w:r>
          </w:p>
          <w:p w:rsid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(4) 6361 sayılı Finansal Kiralama, Faktoring ve Finansman Şirketleri Kanunu uyarınca sigorta acenteliği yapma yetkisi tanınan finansal kiralama ve finansman şirketleri sigorta acenteliği faaliyetinde bulunabilmelerini teminen bu Yönetmelikte 5, 8, 9 ve 12 nci maddelerdeki hükümler hariç olmak üzere aranan şartları yerine getirmek suretiyle Levhaya kaydedilir.</w:t>
            </w:r>
          </w:p>
          <w:p w:rsidR="00C859CE" w:rsidRPr="00C859CE" w:rsidRDefault="00C859CE" w:rsidP="00C859CE">
            <w:pPr>
              <w:tabs>
                <w:tab w:val="left" w:pos="566"/>
              </w:tabs>
              <w:spacing w:after="0"/>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Bu kurumlar iştigal konularına giren işlere ilişkin sigorta sözleşmelerinin yapılmasına aracılık dışında sigortacılık işlemleriyle iştigal edemez.”</w:t>
            </w:r>
          </w:p>
          <w:p w:rsid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 xml:space="preserve">MADDE 8 – </w:t>
            </w:r>
            <w:r w:rsidRPr="00C859CE">
              <w:rPr>
                <w:rFonts w:ascii="Times New Roman" w:eastAsia="Times New Roman" w:hAnsi="Times New Roman"/>
                <w:sz w:val="28"/>
                <w:szCs w:val="28"/>
                <w:lang w:eastAsia="tr-TR"/>
              </w:rPr>
              <w:t>Aynı Yönetmeliğe 13 üncü maddesinden sonra gelmek üzere aşağıdaki madde eklenmiştir.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p>
          <w:p w:rsidR="00C859CE" w:rsidRPr="00C859CE" w:rsidRDefault="00C859CE" w:rsidP="00C859CE">
            <w:pPr>
              <w:tabs>
                <w:tab w:val="left" w:pos="566"/>
              </w:tabs>
              <w:spacing w:after="0"/>
              <w:ind w:firstLine="566"/>
              <w:jc w:val="both"/>
              <w:rPr>
                <w:rFonts w:ascii="Times New Roman" w:eastAsia="Times New Roman" w:hAnsi="Times New Roman"/>
                <w:b/>
                <w:sz w:val="28"/>
                <w:szCs w:val="28"/>
                <w:lang w:eastAsia="tr-TR"/>
              </w:rPr>
            </w:pPr>
            <w:r w:rsidRPr="00C859CE">
              <w:rPr>
                <w:rFonts w:ascii="Times New Roman" w:eastAsia="Times New Roman" w:hAnsi="Times New Roman"/>
                <w:sz w:val="28"/>
                <w:szCs w:val="28"/>
                <w:lang w:eastAsia="tr-TR"/>
              </w:rPr>
              <w:lastRenderedPageBreak/>
              <w:t>“</w:t>
            </w:r>
            <w:r w:rsidRPr="00C859CE">
              <w:rPr>
                <w:rFonts w:ascii="Times New Roman" w:eastAsia="Times New Roman" w:hAnsi="Times New Roman"/>
                <w:b/>
                <w:sz w:val="28"/>
                <w:szCs w:val="28"/>
                <w:lang w:eastAsia="tr-TR"/>
              </w:rPr>
              <w:t>İcra Komitesi tarafından belirlenecek hususlar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13/A –</w:t>
            </w:r>
            <w:r w:rsidRPr="00C859CE">
              <w:rPr>
                <w:rFonts w:ascii="Times New Roman" w:eastAsia="Times New Roman" w:hAnsi="Times New Roman"/>
                <w:sz w:val="28"/>
                <w:szCs w:val="28"/>
                <w:lang w:eastAsia="tr-TR"/>
              </w:rPr>
              <w:t xml:space="preserve"> (1) Merkez ve şubeler için uygulanacak fiziki şartlar, teknik, idari altyapı ile insan kaynakları; acentelerin teşkilatı; teknik personel nitelikleri; unvan; değişikliklerin bildirilmesi ve güncelleme; ilan, reklam, afiş ve pano; sürekli eğitim; bilgi kayıtları ve kayıtlara erişime ilişkin genel düzenleyici işlemler dâhil tüm işlemler bu Yönetmelikte belirtilen şartlara uygun olmak koşuluyla ilgisine göre İcra Komitesi veya TOBB tarafından tesis ve icra edilir.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(2) Müsteşarlık, mevzuata ve sigortacılık sektörünün genel menfaatlerine aykırılık tespit etmesi halinde Türkiye Odalar ve Borsalar Birliğinden sigorta acentelerine ilişkin yapılan düzenlemelerinin iptal edilmesini veya düzenlemelerde değişiklik yapılmasını isteyebilir. Bu durumda gerekli düzenlemeler en fazla 3 ay içinde yapılır.”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9 –</w:t>
            </w:r>
            <w:r w:rsidRPr="00C859CE">
              <w:rPr>
                <w:rFonts w:ascii="Times New Roman" w:eastAsia="Times New Roman" w:hAnsi="Times New Roman"/>
                <w:sz w:val="28"/>
                <w:szCs w:val="28"/>
                <w:lang w:eastAsia="tr-TR"/>
              </w:rPr>
              <w:t xml:space="preserve"> Aynı Yönetmeliğin 15 inci maddesinin birinci fıkrasının (d) bendi aşağıdaki şekilde değiştirilmiş, (d) bendinden sonra gelmek üzere aşağıdaki bent eklenmiş ve diğer bentler buna uygun olarak teselsül ettirilmiş, ikinci fıkrasından sonra gelmek üzere aşağıdaki fıkralar eklenmiştir.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“d) Branş bazında ödenecek komisyon ve sağlanacak diğer menfaatlere ilişkin usul ve esaslar.”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“e) Tarafların hak ve yükümlülükleri.”</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“(3) Belirsiz bir süre için yapılmış olan acentelik sözleşmesini, taraflardan her biri üç ay önceden ihbarda bulunmak şartıyla feshedebilir. Sözleşme belirli bir süre için yapılmış olsa bile haklı sebeplerden dolayı her zaman fesih olunabilir. Sözleşmenin feshine neden olan haklı sebepler acentelik sözleşmesinde açıklanır. Sigorta şirketi sözleşmede yer vermediği bir hususu haklı sebep olarak dayanak gösteremez. Fesih sonuçlarını doğuran uygulamalar da fesih ile aynı hükümlere tabidir.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(4) Sözleşmenin feshinin tarafların hak ve yükümlülüklerine etkisine ilişkin usul ve esaslar sözleşmede açıklanır.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(5) Sözleşme kapsamında yer alan hükümlerin acente aleyhine olacak şekilde değiştirilmesine ilişkin düzenlemeler, değişikliğin yapılmasından itibaren asgari 2 ay sonra yürürlüğe girer. Müsteşarlık bu süreyi yarısına kadar uzatabilir.”</w:t>
            </w:r>
          </w:p>
          <w:p w:rsid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 xml:space="preserve">MADDE 10 – </w:t>
            </w:r>
            <w:r w:rsidRPr="00C859CE">
              <w:rPr>
                <w:rFonts w:ascii="Times New Roman" w:eastAsia="Times New Roman" w:hAnsi="Times New Roman"/>
                <w:sz w:val="28"/>
                <w:szCs w:val="28"/>
                <w:lang w:eastAsia="tr-TR"/>
              </w:rPr>
              <w:t>Aynı Yönetmeliğin 16 ncı maddesinin başlığı “Değişikliklerin bildirilmesi ve güncelleme” olarak, birinci fıkrası ise aşağıdaki şekilde değiştirilmiş ve ikinci fıkrası yürürlükten kaldırılmıştır.</w:t>
            </w:r>
          </w:p>
          <w:p w:rsidR="00C859CE" w:rsidRDefault="00C859CE" w:rsidP="00C859CE">
            <w:pPr>
              <w:tabs>
                <w:tab w:val="left" w:pos="566"/>
              </w:tabs>
              <w:spacing w:after="0"/>
              <w:ind w:firstLine="566"/>
              <w:jc w:val="both"/>
              <w:rPr>
                <w:rFonts w:ascii="Times New Roman" w:eastAsia="Times New Roman" w:hAnsi="Times New Roman"/>
                <w:sz w:val="28"/>
                <w:szCs w:val="28"/>
                <w:lang w:eastAsia="tr-TR"/>
              </w:rPr>
            </w:pPr>
          </w:p>
          <w:p w:rsidR="00C859CE" w:rsidRDefault="00C859CE" w:rsidP="00C859CE">
            <w:pPr>
              <w:tabs>
                <w:tab w:val="left" w:pos="566"/>
              </w:tabs>
              <w:spacing w:after="0"/>
              <w:ind w:firstLine="566"/>
              <w:jc w:val="both"/>
              <w:rPr>
                <w:rFonts w:ascii="Times New Roman" w:eastAsia="Times New Roman" w:hAnsi="Times New Roman"/>
                <w:sz w:val="28"/>
                <w:szCs w:val="28"/>
                <w:lang w:eastAsia="tr-TR"/>
              </w:rPr>
            </w:pPr>
          </w:p>
          <w:p w:rsidR="00C859CE" w:rsidRDefault="00C859CE" w:rsidP="00C859CE">
            <w:pPr>
              <w:tabs>
                <w:tab w:val="left" w:pos="566"/>
              </w:tabs>
              <w:spacing w:after="0"/>
              <w:ind w:firstLine="566"/>
              <w:jc w:val="both"/>
              <w:rPr>
                <w:rFonts w:ascii="Times New Roman" w:eastAsia="Times New Roman" w:hAnsi="Times New Roman"/>
                <w:sz w:val="28"/>
                <w:szCs w:val="28"/>
                <w:lang w:eastAsia="tr-TR"/>
              </w:rPr>
            </w:pP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“(1) Bu Yönetmelik çerçevesinde meydana gelecek her türlü değişikliği, ilgisine göre acenteler veya sigorta şirketleri değişikliği takiben en geç onbeş iş günü içinde ve elektronik ortamda Levhaya işlenmek üzere uygunluk belgesi başvurusunda bulundukları odaya bildirir. Bu değişiklikler Müsteşarlıkça belirlenecek usul ve esaslara göre TOBB tarafından Levhaya kaydedilir.”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11 –</w:t>
            </w:r>
            <w:r w:rsidRPr="00C859CE">
              <w:rPr>
                <w:rFonts w:ascii="Times New Roman" w:eastAsia="Times New Roman" w:hAnsi="Times New Roman"/>
                <w:sz w:val="28"/>
                <w:szCs w:val="28"/>
                <w:lang w:eastAsia="tr-TR"/>
              </w:rPr>
              <w:t xml:space="preserve"> Aynı Yönetmeliğin 17 nci maddesine aşağıdaki fıkralar eklenmiştir.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“(4) Acente ile sigorta şirketi arasındaki komisyon ve diğer menfaatler hakkında, sigorta ettiren veya sigorta sözleşmesinden menfaat sağlayanlara yapılacak bilgilendirmeye ilişkin usul ve esaslar Müsteşarlıkça belirlenir.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(5) Acenteler, bilgi işlem altyapılarını Müsteşarlıkça belirlenecek usul ve esaslara uygun hale getirir.”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12 –</w:t>
            </w:r>
            <w:r w:rsidRPr="00C859CE">
              <w:rPr>
                <w:rFonts w:ascii="Times New Roman" w:eastAsia="Times New Roman" w:hAnsi="Times New Roman"/>
                <w:sz w:val="28"/>
                <w:szCs w:val="28"/>
                <w:lang w:eastAsia="tr-TR"/>
              </w:rPr>
              <w:t xml:space="preserve"> Aynı Yönetmeliğin 18 inci maddesinin ikinci ve üçüncü fıkraları aşağıdaki şekilde değiştirilmiştir.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“(2) Acenteler, aracılık ettikleri prim tutarları ve tahakkuk eden komisyonu çalıştıkları şirketler bazında takip eder. Sigorta şirketleri, acenteler ile akdettikleri sözleşmenin uygulanmasını etkileyen hususlara ilişkin olarak acentelik sözleşmesinde belirlenen dönemler halinde acenteye bilgi verir.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(3) Acenteler hesaplarını ve mali tablolarını ilgili mevzuat çerçevesinde tutar.”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13 –</w:t>
            </w:r>
            <w:r w:rsidRPr="00C859CE">
              <w:rPr>
                <w:rFonts w:ascii="Times New Roman" w:eastAsia="Times New Roman" w:hAnsi="Times New Roman"/>
                <w:sz w:val="28"/>
                <w:szCs w:val="28"/>
                <w:lang w:eastAsia="tr-TR"/>
              </w:rPr>
              <w:t xml:space="preserve"> Aynı Yönetmeliğin 19 uncu maddesinin ikinci fıkrası aşağıdaki şekilde değiştirilmiş ve aynı maddeye aşağıdaki fıkra eklenmiştir.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“(2) Acente unvanı ile Levha kayıt numarasını içeren bir plaka acentelik faaliyeti gösterilen mekânların girişinde ve gözle görünür şekilde asılır.”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“(4) Acenteler sözleşme yaptırmak isteyenlere Müsteşarlıkça belirlenecek esaslara göre aracılık ettikleri sigorta şirketlerini ve bu şirketlerce kendilerine tanınan yetkileri bildirir, varsa internet sitelerinde yayımlar.”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14 –</w:t>
            </w:r>
            <w:r w:rsidRPr="00C859CE">
              <w:rPr>
                <w:rFonts w:ascii="Times New Roman" w:eastAsia="Times New Roman" w:hAnsi="Times New Roman"/>
                <w:sz w:val="28"/>
                <w:szCs w:val="28"/>
                <w:lang w:eastAsia="tr-TR"/>
              </w:rPr>
              <w:t xml:space="preserve"> Aynı Yönetmeliğin 20 nci maddesinin birinci fıkrası aşağıdaki şekilde değiştirilmiş ve ikinci fıkrası yürürlükten kaldırılmıştır.</w:t>
            </w:r>
          </w:p>
          <w:p w:rsid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sz w:val="28"/>
                <w:szCs w:val="28"/>
                <w:lang w:eastAsia="tr-TR"/>
              </w:rPr>
              <w:t>“(1) Teknik personel, mesleki yeterliliklerinin, bilgi ve becerilerinin devamlılığını sağlamak amacıyla usul ve esasları Müsteşarlığın uygun görüşü alınmak şartıyla İcra Komitesi tarafından belirlenecek ve SEGEM tarafından verilecek eğitime katılır.”</w:t>
            </w:r>
          </w:p>
          <w:p w:rsidR="00C37931" w:rsidRPr="00C859CE" w:rsidRDefault="00C37931" w:rsidP="00C859CE">
            <w:pPr>
              <w:tabs>
                <w:tab w:val="left" w:pos="566"/>
              </w:tabs>
              <w:spacing w:after="0"/>
              <w:ind w:firstLine="566"/>
              <w:jc w:val="both"/>
              <w:rPr>
                <w:rFonts w:ascii="Times New Roman" w:eastAsia="Times New Roman" w:hAnsi="Times New Roman"/>
                <w:sz w:val="28"/>
                <w:szCs w:val="28"/>
                <w:lang w:eastAsia="tr-TR"/>
              </w:rPr>
            </w:pP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lastRenderedPageBreak/>
              <w:t xml:space="preserve">MADDE 15 – </w:t>
            </w:r>
            <w:r w:rsidRPr="00C859CE">
              <w:rPr>
                <w:rFonts w:ascii="Times New Roman" w:eastAsia="Times New Roman" w:hAnsi="Times New Roman"/>
                <w:sz w:val="28"/>
                <w:szCs w:val="28"/>
                <w:lang w:eastAsia="tr-TR"/>
              </w:rPr>
              <w:t>Aynı Yönetmeliğin 21 inci maddesi yürürlükten kaldırılmıştır.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 xml:space="preserve">MADDE 16 – </w:t>
            </w:r>
            <w:r w:rsidRPr="00C859CE">
              <w:rPr>
                <w:rFonts w:ascii="Times New Roman" w:eastAsia="Times New Roman" w:hAnsi="Times New Roman"/>
                <w:sz w:val="28"/>
                <w:szCs w:val="28"/>
                <w:lang w:eastAsia="tr-TR"/>
              </w:rPr>
              <w:t>Aynı Yönetmeliğe aşağıdaki geçici maddeler eklenmiştir.</w:t>
            </w:r>
          </w:p>
          <w:p w:rsidR="00C859CE" w:rsidRPr="00C859CE" w:rsidRDefault="00C859CE" w:rsidP="00C859CE">
            <w:pPr>
              <w:tabs>
                <w:tab w:val="left" w:pos="566"/>
              </w:tabs>
              <w:spacing w:after="0"/>
              <w:ind w:firstLine="566"/>
              <w:jc w:val="both"/>
              <w:rPr>
                <w:rFonts w:ascii="Times New Roman" w:eastAsia="Times New Roman" w:hAnsi="Times New Roman"/>
                <w:b/>
                <w:sz w:val="28"/>
                <w:szCs w:val="28"/>
                <w:lang w:eastAsia="tr-TR"/>
              </w:rPr>
            </w:pPr>
            <w:r w:rsidRPr="00C859CE">
              <w:rPr>
                <w:rFonts w:ascii="Times New Roman" w:eastAsia="Times New Roman" w:hAnsi="Times New Roman"/>
                <w:b/>
                <w:sz w:val="28"/>
                <w:szCs w:val="28"/>
                <w:lang w:eastAsia="tr-TR"/>
              </w:rPr>
              <w:t>“İcra Komitesinin görevlerine ilişkin geçiş hükmü</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 xml:space="preserve">GEÇİCİ MADDE 5 – </w:t>
            </w:r>
            <w:r w:rsidRPr="00C859CE">
              <w:rPr>
                <w:rFonts w:ascii="Times New Roman" w:eastAsia="Times New Roman" w:hAnsi="Times New Roman"/>
                <w:sz w:val="28"/>
                <w:szCs w:val="28"/>
                <w:lang w:eastAsia="tr-TR"/>
              </w:rPr>
              <w:t>(1) Bu Yönetmelik hükümleri çerçevesinde İcra Komitesi tarafından hazırlanan genel düzenleyici işlemler, bu Yönetmeliğin yayımından itibaren 6 ay sonra yürürlüğe girer.</w:t>
            </w:r>
          </w:p>
          <w:p w:rsidR="00C859CE" w:rsidRPr="00C859CE" w:rsidRDefault="00C859CE" w:rsidP="00C859CE">
            <w:pPr>
              <w:tabs>
                <w:tab w:val="left" w:pos="566"/>
              </w:tabs>
              <w:spacing w:after="0"/>
              <w:ind w:firstLine="566"/>
              <w:jc w:val="both"/>
              <w:rPr>
                <w:rFonts w:ascii="Times New Roman" w:eastAsia="Times New Roman" w:hAnsi="Times New Roman"/>
                <w:b/>
                <w:sz w:val="28"/>
                <w:szCs w:val="28"/>
                <w:lang w:eastAsia="tr-TR"/>
              </w:rPr>
            </w:pPr>
            <w:r w:rsidRPr="00C859CE">
              <w:rPr>
                <w:rFonts w:ascii="Times New Roman" w:eastAsia="Times New Roman" w:hAnsi="Times New Roman"/>
                <w:b/>
                <w:sz w:val="28"/>
                <w:szCs w:val="28"/>
                <w:lang w:eastAsia="tr-TR"/>
              </w:rPr>
              <w:t>Sözleşmelerin uyarlanması</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GEÇİCİ MADDE 6 –</w:t>
            </w:r>
            <w:r w:rsidRPr="00C859CE">
              <w:rPr>
                <w:rFonts w:ascii="Times New Roman" w:eastAsia="Times New Roman" w:hAnsi="Times New Roman"/>
                <w:sz w:val="28"/>
                <w:szCs w:val="28"/>
                <w:lang w:eastAsia="tr-TR"/>
              </w:rPr>
              <w:t xml:space="preserve"> (1) Mevcut acentelik sözleşmeleri, bu Yönetmeliğin yayımlandığı tarihten itibaren 6 ay içinde Yönetmelik hükümlerine uygun hale getirilir.”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17 –</w:t>
            </w:r>
            <w:r w:rsidRPr="00C859CE">
              <w:rPr>
                <w:rFonts w:ascii="Times New Roman" w:eastAsia="Times New Roman" w:hAnsi="Times New Roman"/>
                <w:sz w:val="28"/>
                <w:szCs w:val="28"/>
                <w:lang w:eastAsia="tr-TR"/>
              </w:rPr>
              <w:t xml:space="preserve"> Aynı Yönetmeliğin Ek-1’i ekteki şekilde değiştirilmiş ve Ek-2, Ek-3, Ek-4, Ek-5, Ek-6, Ek-7, Ek-8 ve Ek-9’u yürürlükten kaldırılmıştır.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18 –</w:t>
            </w:r>
            <w:r w:rsidRPr="00C859CE">
              <w:rPr>
                <w:rFonts w:ascii="Times New Roman" w:eastAsia="Times New Roman" w:hAnsi="Times New Roman"/>
                <w:sz w:val="28"/>
                <w:szCs w:val="28"/>
                <w:lang w:eastAsia="tr-TR"/>
              </w:rPr>
              <w:t xml:space="preserve"> Bu Yönetmelik yayımı tarihinden 6 ay sonra yürürlüğe girer.</w:t>
            </w:r>
          </w:p>
          <w:p w:rsidR="00C859CE" w:rsidRPr="00C859CE" w:rsidRDefault="00C859CE" w:rsidP="00C859CE">
            <w:pPr>
              <w:tabs>
                <w:tab w:val="left" w:pos="566"/>
              </w:tabs>
              <w:spacing w:after="0"/>
              <w:ind w:firstLine="566"/>
              <w:jc w:val="both"/>
              <w:rPr>
                <w:rFonts w:ascii="Times New Roman" w:eastAsia="Times New Roman" w:hAnsi="Times New Roman"/>
                <w:sz w:val="28"/>
                <w:szCs w:val="28"/>
                <w:lang w:eastAsia="tr-TR"/>
              </w:rPr>
            </w:pPr>
            <w:r w:rsidRPr="00C859CE">
              <w:rPr>
                <w:rFonts w:ascii="Times New Roman" w:eastAsia="Times New Roman" w:hAnsi="Times New Roman"/>
                <w:b/>
                <w:sz w:val="28"/>
                <w:szCs w:val="28"/>
                <w:lang w:eastAsia="tr-TR"/>
              </w:rPr>
              <w:t>MADDE 19 –</w:t>
            </w:r>
            <w:r w:rsidRPr="00C859CE">
              <w:rPr>
                <w:rFonts w:ascii="Times New Roman" w:eastAsia="Times New Roman" w:hAnsi="Times New Roman"/>
                <w:sz w:val="28"/>
                <w:szCs w:val="28"/>
                <w:lang w:eastAsia="tr-TR"/>
              </w:rPr>
              <w:t xml:space="preserve"> Bu Yönetmelik hükümlerini Hazine Müsteşarlığının bağlı olduğu Bakan yürütür.</w:t>
            </w:r>
          </w:p>
          <w:p w:rsidR="00C859CE" w:rsidRPr="00C859CE" w:rsidRDefault="00C859CE" w:rsidP="00C859CE">
            <w:pPr>
              <w:tabs>
                <w:tab w:val="left" w:pos="566"/>
              </w:tabs>
              <w:spacing w:after="0"/>
              <w:jc w:val="center"/>
              <w:rPr>
                <w:rFonts w:ascii="Times New Roman" w:eastAsia="Times New Roman" w:hAnsi="Times New Roman"/>
                <w:sz w:val="28"/>
                <w:szCs w:val="28"/>
                <w:lang w:eastAsia="tr-TR"/>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
              <w:gridCol w:w="3812"/>
              <w:gridCol w:w="4243"/>
            </w:tblGrid>
            <w:tr w:rsidR="00C859CE" w:rsidRPr="005B5596" w:rsidTr="005B5596">
              <w:trPr>
                <w:jc w:val="center"/>
              </w:trPr>
              <w:tc>
                <w:tcPr>
                  <w:tcW w:w="8505" w:type="dxa"/>
                  <w:gridSpan w:val="3"/>
                  <w:tcBorders>
                    <w:top w:val="single" w:sz="4" w:space="0" w:color="auto"/>
                    <w:left w:val="single" w:sz="4" w:space="0" w:color="auto"/>
                    <w:bottom w:val="nil"/>
                    <w:right w:val="single" w:sz="4" w:space="0" w:color="auto"/>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b/>
                      <w:sz w:val="28"/>
                      <w:szCs w:val="28"/>
                      <w:lang w:eastAsia="tr-TR"/>
                    </w:rPr>
                  </w:pPr>
                  <w:r w:rsidRPr="005B5596">
                    <w:rPr>
                      <w:rFonts w:ascii="Times New Roman" w:eastAsia="Times New Roman" w:hAnsi="Times New Roman"/>
                      <w:b/>
                      <w:sz w:val="28"/>
                      <w:szCs w:val="28"/>
                      <w:lang w:eastAsia="tr-TR"/>
                    </w:rPr>
                    <w:t>Yönetmeliğin Yayımlandığı Resmî Gazete'nin</w:t>
                  </w:r>
                </w:p>
              </w:tc>
            </w:tr>
            <w:tr w:rsidR="00C859CE" w:rsidRPr="005B5596" w:rsidTr="005B5596">
              <w:trPr>
                <w:jc w:val="center"/>
              </w:trPr>
              <w:tc>
                <w:tcPr>
                  <w:tcW w:w="4254" w:type="dxa"/>
                  <w:gridSpan w:val="2"/>
                  <w:tcBorders>
                    <w:top w:val="nil"/>
                    <w:left w:val="single" w:sz="4" w:space="0" w:color="auto"/>
                    <w:bottom w:val="single" w:sz="4" w:space="0" w:color="auto"/>
                    <w:right w:val="nil"/>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b/>
                      <w:sz w:val="28"/>
                      <w:szCs w:val="28"/>
                      <w:lang w:eastAsia="tr-TR"/>
                    </w:rPr>
                  </w:pPr>
                  <w:r w:rsidRPr="005B5596">
                    <w:rPr>
                      <w:rFonts w:ascii="Times New Roman" w:eastAsia="Times New Roman" w:hAnsi="Times New Roman"/>
                      <w:b/>
                      <w:sz w:val="28"/>
                      <w:szCs w:val="28"/>
                      <w:lang w:eastAsia="tr-TR"/>
                    </w:rPr>
                    <w:t>Tarihi</w:t>
                  </w:r>
                </w:p>
              </w:tc>
              <w:tc>
                <w:tcPr>
                  <w:tcW w:w="4251" w:type="dxa"/>
                  <w:tcBorders>
                    <w:top w:val="nil"/>
                    <w:left w:val="nil"/>
                    <w:bottom w:val="single" w:sz="4" w:space="0" w:color="auto"/>
                    <w:right w:val="single" w:sz="4" w:space="0" w:color="auto"/>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b/>
                      <w:sz w:val="28"/>
                      <w:szCs w:val="28"/>
                      <w:lang w:eastAsia="tr-TR"/>
                    </w:rPr>
                  </w:pPr>
                  <w:r w:rsidRPr="005B5596">
                    <w:rPr>
                      <w:rFonts w:ascii="Times New Roman" w:eastAsia="Times New Roman" w:hAnsi="Times New Roman"/>
                      <w:b/>
                      <w:sz w:val="28"/>
                      <w:szCs w:val="28"/>
                      <w:lang w:eastAsia="tr-TR"/>
                    </w:rPr>
                    <w:t>Sayısı</w:t>
                  </w:r>
                </w:p>
              </w:tc>
            </w:tr>
            <w:tr w:rsidR="00C859CE" w:rsidRPr="005B5596" w:rsidTr="005B5596">
              <w:trPr>
                <w:jc w:val="center"/>
              </w:trPr>
              <w:tc>
                <w:tcPr>
                  <w:tcW w:w="4254" w:type="dxa"/>
                  <w:gridSpan w:val="2"/>
                  <w:tcBorders>
                    <w:top w:val="single" w:sz="4" w:space="0" w:color="auto"/>
                    <w:left w:val="single" w:sz="4" w:space="0" w:color="auto"/>
                    <w:bottom w:val="single" w:sz="4" w:space="0" w:color="auto"/>
                    <w:right w:val="single" w:sz="4" w:space="0" w:color="auto"/>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sz w:val="28"/>
                      <w:szCs w:val="28"/>
                      <w:lang w:eastAsia="tr-TR"/>
                    </w:rPr>
                  </w:pPr>
                  <w:r w:rsidRPr="005B5596">
                    <w:rPr>
                      <w:rFonts w:ascii="Times New Roman" w:eastAsia="Times New Roman" w:hAnsi="Times New Roman"/>
                      <w:sz w:val="28"/>
                      <w:szCs w:val="28"/>
                      <w:lang w:eastAsia="tr-TR"/>
                    </w:rPr>
                    <w:t>22/4/2014</w:t>
                  </w:r>
                </w:p>
              </w:tc>
              <w:tc>
                <w:tcPr>
                  <w:tcW w:w="4251" w:type="dxa"/>
                  <w:tcBorders>
                    <w:top w:val="single" w:sz="4" w:space="0" w:color="auto"/>
                    <w:left w:val="single" w:sz="4" w:space="0" w:color="auto"/>
                    <w:bottom w:val="single" w:sz="4" w:space="0" w:color="auto"/>
                    <w:right w:val="single" w:sz="4" w:space="0" w:color="auto"/>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sz w:val="28"/>
                      <w:szCs w:val="28"/>
                      <w:lang w:eastAsia="tr-TR"/>
                    </w:rPr>
                  </w:pPr>
                  <w:r w:rsidRPr="005B5596">
                    <w:rPr>
                      <w:rFonts w:ascii="Times New Roman" w:eastAsia="Times New Roman" w:hAnsi="Times New Roman"/>
                      <w:sz w:val="28"/>
                      <w:szCs w:val="28"/>
                      <w:lang w:eastAsia="tr-TR"/>
                    </w:rPr>
                    <w:t>28980</w:t>
                  </w:r>
                </w:p>
              </w:tc>
            </w:tr>
            <w:tr w:rsidR="00C859CE" w:rsidRPr="005B5596" w:rsidTr="005B5596">
              <w:trPr>
                <w:jc w:val="center"/>
              </w:trPr>
              <w:tc>
                <w:tcPr>
                  <w:tcW w:w="8505" w:type="dxa"/>
                  <w:gridSpan w:val="3"/>
                  <w:tcBorders>
                    <w:top w:val="single" w:sz="4" w:space="0" w:color="auto"/>
                    <w:left w:val="single" w:sz="4" w:space="0" w:color="auto"/>
                    <w:bottom w:val="nil"/>
                    <w:right w:val="single" w:sz="4" w:space="0" w:color="auto"/>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b/>
                      <w:sz w:val="28"/>
                      <w:szCs w:val="28"/>
                      <w:lang w:eastAsia="tr-TR"/>
                    </w:rPr>
                  </w:pPr>
                  <w:r w:rsidRPr="005B5596">
                    <w:rPr>
                      <w:rFonts w:ascii="Times New Roman" w:eastAsia="Times New Roman" w:hAnsi="Times New Roman"/>
                      <w:b/>
                      <w:sz w:val="28"/>
                      <w:szCs w:val="28"/>
                      <w:lang w:eastAsia="tr-TR"/>
                    </w:rPr>
                    <w:t>Yönetmelikte Değişiklik Yapan Yönetmeliklerin Yayımlandığı Resmî Gazete'nin</w:t>
                  </w:r>
                </w:p>
              </w:tc>
            </w:tr>
            <w:tr w:rsidR="00C859CE" w:rsidRPr="005B5596" w:rsidTr="005B5596">
              <w:trPr>
                <w:jc w:val="center"/>
              </w:trPr>
              <w:tc>
                <w:tcPr>
                  <w:tcW w:w="4254" w:type="dxa"/>
                  <w:gridSpan w:val="2"/>
                  <w:tcBorders>
                    <w:top w:val="nil"/>
                    <w:left w:val="single" w:sz="4" w:space="0" w:color="auto"/>
                    <w:bottom w:val="single" w:sz="4" w:space="0" w:color="auto"/>
                    <w:right w:val="nil"/>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b/>
                      <w:sz w:val="28"/>
                      <w:szCs w:val="28"/>
                      <w:lang w:eastAsia="tr-TR"/>
                    </w:rPr>
                  </w:pPr>
                  <w:r w:rsidRPr="005B5596">
                    <w:rPr>
                      <w:rFonts w:ascii="Times New Roman" w:eastAsia="Times New Roman" w:hAnsi="Times New Roman"/>
                      <w:b/>
                      <w:sz w:val="28"/>
                      <w:szCs w:val="28"/>
                      <w:lang w:eastAsia="tr-TR"/>
                    </w:rPr>
                    <w:t>Tarihi</w:t>
                  </w:r>
                </w:p>
              </w:tc>
              <w:tc>
                <w:tcPr>
                  <w:tcW w:w="4251" w:type="dxa"/>
                  <w:tcBorders>
                    <w:top w:val="nil"/>
                    <w:left w:val="nil"/>
                    <w:bottom w:val="single" w:sz="4" w:space="0" w:color="auto"/>
                    <w:right w:val="single" w:sz="4" w:space="0" w:color="auto"/>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b/>
                      <w:sz w:val="28"/>
                      <w:szCs w:val="28"/>
                      <w:lang w:eastAsia="tr-TR"/>
                    </w:rPr>
                  </w:pPr>
                  <w:r w:rsidRPr="005B5596">
                    <w:rPr>
                      <w:rFonts w:ascii="Times New Roman" w:eastAsia="Times New Roman" w:hAnsi="Times New Roman"/>
                      <w:b/>
                      <w:sz w:val="28"/>
                      <w:szCs w:val="28"/>
                      <w:lang w:eastAsia="tr-TR"/>
                    </w:rPr>
                    <w:t>Sayısı</w:t>
                  </w:r>
                </w:p>
              </w:tc>
            </w:tr>
            <w:tr w:rsidR="00C859CE" w:rsidRPr="005B5596" w:rsidTr="005B5596">
              <w:trPr>
                <w:jc w:val="center"/>
              </w:trPr>
              <w:tc>
                <w:tcPr>
                  <w:tcW w:w="437" w:type="dxa"/>
                  <w:tcBorders>
                    <w:top w:val="single" w:sz="4" w:space="0" w:color="auto"/>
                    <w:left w:val="single" w:sz="4" w:space="0" w:color="auto"/>
                    <w:bottom w:val="single" w:sz="4" w:space="0" w:color="auto"/>
                    <w:right w:val="single" w:sz="4" w:space="0" w:color="auto"/>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sz w:val="28"/>
                      <w:szCs w:val="28"/>
                      <w:lang w:eastAsia="tr-TR"/>
                    </w:rPr>
                  </w:pPr>
                  <w:r w:rsidRPr="005B5596">
                    <w:rPr>
                      <w:rFonts w:ascii="Times New Roman" w:eastAsia="Times New Roman" w:hAnsi="Times New Roman"/>
                      <w:sz w:val="28"/>
                      <w:szCs w:val="28"/>
                      <w:lang w:eastAsia="tr-TR"/>
                    </w:rPr>
                    <w:t>1-</w:t>
                  </w:r>
                </w:p>
              </w:tc>
              <w:tc>
                <w:tcPr>
                  <w:tcW w:w="3817" w:type="dxa"/>
                  <w:tcBorders>
                    <w:top w:val="single" w:sz="4" w:space="0" w:color="auto"/>
                    <w:left w:val="single" w:sz="4" w:space="0" w:color="auto"/>
                    <w:bottom w:val="single" w:sz="4" w:space="0" w:color="auto"/>
                    <w:right w:val="single" w:sz="4" w:space="0" w:color="auto"/>
                  </w:tcBorders>
                  <w:shd w:val="clear" w:color="auto" w:fill="auto"/>
                  <w:hideMark/>
                </w:tcPr>
                <w:p w:rsidR="00C859CE" w:rsidRPr="005B5596" w:rsidRDefault="00C859CE" w:rsidP="005B5596">
                  <w:pPr>
                    <w:tabs>
                      <w:tab w:val="left" w:pos="708"/>
                    </w:tabs>
                    <w:spacing w:after="0"/>
                    <w:ind w:right="469"/>
                    <w:jc w:val="center"/>
                    <w:rPr>
                      <w:rFonts w:ascii="Times New Roman" w:eastAsia="Times New Roman" w:hAnsi="Times New Roman"/>
                      <w:sz w:val="28"/>
                      <w:szCs w:val="28"/>
                      <w:lang w:eastAsia="tr-TR"/>
                    </w:rPr>
                  </w:pPr>
                  <w:r w:rsidRPr="005B5596">
                    <w:rPr>
                      <w:rFonts w:ascii="Times New Roman" w:eastAsia="Times New Roman" w:hAnsi="Times New Roman"/>
                      <w:sz w:val="28"/>
                      <w:szCs w:val="28"/>
                      <w:lang w:eastAsia="tr-TR"/>
                    </w:rPr>
                    <w:t>11/10/2014</w:t>
                  </w:r>
                </w:p>
              </w:tc>
              <w:tc>
                <w:tcPr>
                  <w:tcW w:w="4251" w:type="dxa"/>
                  <w:tcBorders>
                    <w:top w:val="single" w:sz="4" w:space="0" w:color="auto"/>
                    <w:left w:val="single" w:sz="4" w:space="0" w:color="auto"/>
                    <w:bottom w:val="single" w:sz="4" w:space="0" w:color="auto"/>
                    <w:right w:val="single" w:sz="4" w:space="0" w:color="auto"/>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sz w:val="28"/>
                      <w:szCs w:val="28"/>
                      <w:lang w:eastAsia="tr-TR"/>
                    </w:rPr>
                  </w:pPr>
                  <w:r w:rsidRPr="005B5596">
                    <w:rPr>
                      <w:rFonts w:ascii="Times New Roman" w:eastAsia="Times New Roman" w:hAnsi="Times New Roman"/>
                      <w:sz w:val="28"/>
                      <w:szCs w:val="28"/>
                      <w:lang w:eastAsia="tr-TR"/>
                    </w:rPr>
                    <w:t>29142</w:t>
                  </w:r>
                </w:p>
              </w:tc>
            </w:tr>
            <w:tr w:rsidR="00C859CE" w:rsidRPr="005B5596" w:rsidTr="005B5596">
              <w:trPr>
                <w:jc w:val="center"/>
              </w:trPr>
              <w:tc>
                <w:tcPr>
                  <w:tcW w:w="437" w:type="dxa"/>
                  <w:tcBorders>
                    <w:top w:val="single" w:sz="4" w:space="0" w:color="auto"/>
                    <w:left w:val="single" w:sz="4" w:space="0" w:color="auto"/>
                    <w:bottom w:val="single" w:sz="4" w:space="0" w:color="auto"/>
                    <w:right w:val="single" w:sz="4" w:space="0" w:color="auto"/>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sz w:val="28"/>
                      <w:szCs w:val="28"/>
                      <w:lang w:eastAsia="tr-TR"/>
                    </w:rPr>
                  </w:pPr>
                  <w:r w:rsidRPr="005B5596">
                    <w:rPr>
                      <w:rFonts w:ascii="Times New Roman" w:eastAsia="Times New Roman" w:hAnsi="Times New Roman"/>
                      <w:sz w:val="28"/>
                      <w:szCs w:val="28"/>
                      <w:lang w:eastAsia="tr-TR"/>
                    </w:rPr>
                    <w:t>2-</w:t>
                  </w:r>
                </w:p>
              </w:tc>
              <w:tc>
                <w:tcPr>
                  <w:tcW w:w="3817" w:type="dxa"/>
                  <w:tcBorders>
                    <w:top w:val="single" w:sz="4" w:space="0" w:color="auto"/>
                    <w:left w:val="single" w:sz="4" w:space="0" w:color="auto"/>
                    <w:bottom w:val="single" w:sz="4" w:space="0" w:color="auto"/>
                    <w:right w:val="single" w:sz="4" w:space="0" w:color="auto"/>
                  </w:tcBorders>
                  <w:shd w:val="clear" w:color="auto" w:fill="auto"/>
                  <w:hideMark/>
                </w:tcPr>
                <w:p w:rsidR="00C859CE" w:rsidRPr="005B5596" w:rsidRDefault="00C859CE" w:rsidP="005B5596">
                  <w:pPr>
                    <w:tabs>
                      <w:tab w:val="left" w:pos="708"/>
                    </w:tabs>
                    <w:spacing w:after="0"/>
                    <w:ind w:right="469"/>
                    <w:jc w:val="center"/>
                    <w:rPr>
                      <w:rFonts w:ascii="Times New Roman" w:eastAsia="Times New Roman" w:hAnsi="Times New Roman"/>
                      <w:sz w:val="28"/>
                      <w:szCs w:val="28"/>
                      <w:lang w:eastAsia="tr-TR"/>
                    </w:rPr>
                  </w:pPr>
                  <w:r w:rsidRPr="005B5596">
                    <w:rPr>
                      <w:rFonts w:ascii="Times New Roman" w:eastAsia="Times New Roman" w:hAnsi="Times New Roman"/>
                      <w:sz w:val="28"/>
                      <w:szCs w:val="28"/>
                      <w:lang w:eastAsia="tr-TR"/>
                    </w:rPr>
                    <w:t>30/12/2014</w:t>
                  </w:r>
                </w:p>
              </w:tc>
              <w:tc>
                <w:tcPr>
                  <w:tcW w:w="4251" w:type="dxa"/>
                  <w:tcBorders>
                    <w:top w:val="single" w:sz="4" w:space="0" w:color="auto"/>
                    <w:left w:val="single" w:sz="4" w:space="0" w:color="auto"/>
                    <w:bottom w:val="single" w:sz="4" w:space="0" w:color="auto"/>
                    <w:right w:val="single" w:sz="4" w:space="0" w:color="auto"/>
                  </w:tcBorders>
                  <w:shd w:val="clear" w:color="auto" w:fill="auto"/>
                  <w:hideMark/>
                </w:tcPr>
                <w:p w:rsidR="00C859CE" w:rsidRPr="005B5596" w:rsidRDefault="00C859CE" w:rsidP="005B5596">
                  <w:pPr>
                    <w:tabs>
                      <w:tab w:val="left" w:pos="566"/>
                    </w:tabs>
                    <w:spacing w:after="0"/>
                    <w:jc w:val="center"/>
                    <w:rPr>
                      <w:rFonts w:ascii="Times New Roman" w:eastAsia="Times New Roman" w:hAnsi="Times New Roman"/>
                      <w:sz w:val="28"/>
                      <w:szCs w:val="28"/>
                      <w:lang w:eastAsia="tr-TR"/>
                    </w:rPr>
                  </w:pPr>
                  <w:r w:rsidRPr="005B5596">
                    <w:rPr>
                      <w:rFonts w:ascii="Times New Roman" w:eastAsia="Times New Roman" w:hAnsi="Times New Roman"/>
                      <w:sz w:val="28"/>
                      <w:szCs w:val="28"/>
                      <w:lang w:eastAsia="tr-TR"/>
                    </w:rPr>
                    <w:t>29221</w:t>
                  </w:r>
                </w:p>
              </w:tc>
            </w:tr>
          </w:tbl>
          <w:p w:rsidR="00C859CE" w:rsidRPr="00C859CE" w:rsidRDefault="00C859CE" w:rsidP="00C859CE">
            <w:pPr>
              <w:tabs>
                <w:tab w:val="left" w:pos="566"/>
              </w:tabs>
              <w:spacing w:after="0"/>
              <w:jc w:val="center"/>
              <w:rPr>
                <w:rFonts w:ascii="Times New Roman" w:eastAsia="Times New Roman" w:hAnsi="Times New Roman"/>
                <w:sz w:val="28"/>
                <w:szCs w:val="28"/>
                <w:lang w:eastAsia="tr-TR"/>
              </w:rPr>
            </w:pPr>
          </w:p>
          <w:p w:rsidR="00C859CE" w:rsidRPr="00C859CE" w:rsidRDefault="00C859CE" w:rsidP="00C859CE">
            <w:pPr>
              <w:tabs>
                <w:tab w:val="left" w:pos="566"/>
              </w:tabs>
              <w:spacing w:after="0"/>
              <w:rPr>
                <w:rFonts w:ascii="Times New Roman" w:eastAsia="Times New Roman" w:hAnsi="Times New Roman"/>
                <w:b/>
                <w:sz w:val="28"/>
                <w:szCs w:val="28"/>
                <w:lang w:eastAsia="tr-TR"/>
              </w:rPr>
            </w:pPr>
          </w:p>
        </w:tc>
      </w:tr>
    </w:tbl>
    <w:p w:rsidR="00292CF9" w:rsidRDefault="00292CF9" w:rsidP="00C859CE">
      <w:pPr>
        <w:rPr>
          <w:sz w:val="28"/>
          <w:szCs w:val="28"/>
        </w:rPr>
      </w:pPr>
    </w:p>
    <w:p w:rsidR="00103585" w:rsidRDefault="00103585" w:rsidP="00C859CE">
      <w:pPr>
        <w:rPr>
          <w:sz w:val="28"/>
          <w:szCs w:val="28"/>
        </w:rPr>
      </w:pPr>
    </w:p>
    <w:p w:rsidR="00103585" w:rsidRDefault="00103585" w:rsidP="00C859CE">
      <w:pPr>
        <w:rPr>
          <w:sz w:val="28"/>
          <w:szCs w:val="28"/>
        </w:rPr>
      </w:pPr>
    </w:p>
    <w:p w:rsidR="00103585" w:rsidRDefault="00103585" w:rsidP="00C859CE">
      <w:pPr>
        <w:rPr>
          <w:sz w:val="28"/>
          <w:szCs w:val="28"/>
        </w:rPr>
      </w:pPr>
    </w:p>
    <w:p w:rsidR="00103585" w:rsidRDefault="00103585" w:rsidP="00C859CE">
      <w:pPr>
        <w:rPr>
          <w:sz w:val="28"/>
          <w:szCs w:val="28"/>
        </w:rPr>
      </w:pPr>
    </w:p>
    <w:p w:rsidR="00103585" w:rsidRDefault="00103585" w:rsidP="00C859CE">
      <w:pPr>
        <w:rPr>
          <w:sz w:val="28"/>
          <w:szCs w:val="28"/>
        </w:rPr>
      </w:pPr>
    </w:p>
    <w:p w:rsidR="00103585" w:rsidRPr="00C859CE" w:rsidRDefault="00103585" w:rsidP="00C859CE">
      <w:pPr>
        <w:rPr>
          <w:sz w:val="28"/>
          <w:szCs w:val="28"/>
        </w:rPr>
      </w:pPr>
    </w:p>
    <w:sectPr w:rsidR="00103585" w:rsidRPr="00C859CE" w:rsidSect="00C859CE">
      <w:pgSz w:w="11906" w:h="16838"/>
      <w:pgMar w:top="1134" w:right="567"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724"/>
    <w:rsid w:val="00011235"/>
    <w:rsid w:val="00103585"/>
    <w:rsid w:val="00292CF9"/>
    <w:rsid w:val="00545319"/>
    <w:rsid w:val="005B5596"/>
    <w:rsid w:val="0071382C"/>
    <w:rsid w:val="00A24724"/>
    <w:rsid w:val="00C37931"/>
    <w:rsid w:val="00C859CE"/>
    <w:rsid w:val="00CA300A"/>
    <w:rsid w:val="00F00B5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63BD91FB-4C1F-4240-8DC2-A17DA5AF3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rsid w:val="00C859CE"/>
    <w:rPr>
      <w:color w:val="0000FF"/>
      <w:u w:val="single"/>
    </w:rPr>
  </w:style>
  <w:style w:type="paragraph" w:styleId="NormalWeb">
    <w:name w:val="Normal (Web)"/>
    <w:basedOn w:val="Normal"/>
    <w:rsid w:val="00C859CE"/>
    <w:pPr>
      <w:spacing w:before="100" w:beforeAutospacing="1" w:after="100" w:afterAutospacing="1" w:line="240" w:lineRule="auto"/>
    </w:pPr>
    <w:rPr>
      <w:rFonts w:ascii="Times New Roman" w:eastAsia="Times New Roman" w:hAnsi="Times New Roman"/>
      <w:sz w:val="24"/>
      <w:szCs w:val="24"/>
      <w:lang w:eastAsia="tr-TR"/>
    </w:rPr>
  </w:style>
  <w:style w:type="paragraph" w:customStyle="1" w:styleId="Balk11pt">
    <w:name w:val="Başlık 11 pt"/>
    <w:rsid w:val="00C859CE"/>
    <w:pPr>
      <w:tabs>
        <w:tab w:val="left" w:pos="566"/>
      </w:tabs>
      <w:ind w:firstLine="566"/>
      <w:jc w:val="both"/>
    </w:pPr>
    <w:rPr>
      <w:rFonts w:ascii="Times New Roman" w:eastAsia="Times New Roman" w:hAnsi="Times New Roman"/>
      <w:sz w:val="22"/>
      <w:u w:val="single"/>
    </w:rPr>
  </w:style>
  <w:style w:type="paragraph" w:customStyle="1" w:styleId="OrtaBalkBold">
    <w:name w:val="Orta Başlık Bold"/>
    <w:rsid w:val="00C859CE"/>
    <w:pPr>
      <w:tabs>
        <w:tab w:val="left" w:pos="566"/>
      </w:tabs>
      <w:jc w:val="center"/>
    </w:pPr>
    <w:rPr>
      <w:rFonts w:ascii="Times New Roman" w:eastAsia="Times New Roman" w:hAnsi="Times New Roman"/>
      <w:b/>
      <w:sz w:val="19"/>
    </w:rPr>
  </w:style>
  <w:style w:type="paragraph" w:customStyle="1" w:styleId="Metin">
    <w:name w:val="Metin"/>
    <w:rsid w:val="00C859CE"/>
    <w:pPr>
      <w:tabs>
        <w:tab w:val="left" w:pos="566"/>
      </w:tabs>
      <w:ind w:firstLine="566"/>
      <w:jc w:val="both"/>
    </w:pPr>
    <w:rPr>
      <w:rFonts w:ascii="Times New Roman" w:eastAsia="Times New Roman" w:hAnsi="Times New Roman"/>
      <w:sz w:val="19"/>
    </w:rPr>
  </w:style>
  <w:style w:type="paragraph" w:customStyle="1" w:styleId="3-NormalYaz">
    <w:name w:val="3-Normal Yazı"/>
    <w:rsid w:val="00C859CE"/>
    <w:pPr>
      <w:tabs>
        <w:tab w:val="left" w:pos="566"/>
      </w:tabs>
      <w:jc w:val="both"/>
    </w:pPr>
    <w:rPr>
      <w:rFonts w:ascii="Times New Roman" w:eastAsia="Times New Roman" w:hAnsi="Times New Roman"/>
      <w:sz w:val="19"/>
      <w:lang w:eastAsia="en-US"/>
    </w:rPr>
  </w:style>
  <w:style w:type="table" w:styleId="TabloKlavuzu">
    <w:name w:val="Table Grid"/>
    <w:basedOn w:val="NormalTablo"/>
    <w:rsid w:val="00C859CE"/>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37931"/>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C379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1507</Words>
  <Characters>8596</Characters>
  <Application>Microsoft Office Word</Application>
  <DocSecurity>0</DocSecurity>
  <Lines>71</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tobb</dc:creator>
  <cp:keywords/>
  <cp:lastModifiedBy>Seyhan Koç</cp:lastModifiedBy>
  <cp:revision>2</cp:revision>
  <cp:lastPrinted>2016-01-18T08:42:00Z</cp:lastPrinted>
  <dcterms:created xsi:type="dcterms:W3CDTF">2022-06-22T13:28:00Z</dcterms:created>
  <dcterms:modified xsi:type="dcterms:W3CDTF">2022-06-22T13:28:00Z</dcterms:modified>
</cp:coreProperties>
</file>